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7E6FAF">
      <w:pPr>
        <w:pStyle w:val="8"/>
        <w:keepNext w:val="0"/>
        <w:keepLines w:val="0"/>
        <w:pageBreakBefore w:val="0"/>
        <w:widowControl w:val="0"/>
        <w:kinsoku/>
        <w:wordWrap/>
        <w:overflowPunct/>
        <w:topLinePunct w:val="0"/>
        <w:autoSpaceDE w:val="0"/>
        <w:autoSpaceDN w:val="0"/>
        <w:bidi w:val="0"/>
        <w:adjustRightInd w:val="0"/>
        <w:snapToGrid w:val="0"/>
        <w:spacing w:line="600" w:lineRule="exact"/>
        <w:ind w:firstLine="720" w:firstLineChars="200"/>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lang w:val="en-US" w:eastAsia="zh-CN"/>
        </w:rPr>
        <w:t>新晃侗族自治县晃州兴隆中学</w:t>
      </w:r>
      <w:r>
        <w:rPr>
          <w:rFonts w:hint="eastAsia" w:ascii="方正小标宋简体" w:hAnsi="方正小标宋简体" w:eastAsia="方正小标宋简体" w:cs="方正小标宋简体"/>
          <w:b w:val="0"/>
          <w:bCs/>
          <w:sz w:val="36"/>
          <w:szCs w:val="36"/>
        </w:rPr>
        <w:t>关于</w:t>
      </w:r>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4</w:t>
      </w:r>
      <w:r>
        <w:rPr>
          <w:rFonts w:hint="eastAsia" w:ascii="方正小标宋简体" w:hAnsi="方正小标宋简体" w:eastAsia="方正小标宋简体" w:cs="方正小标宋简体"/>
          <w:b w:val="0"/>
          <w:bCs/>
          <w:sz w:val="36"/>
          <w:szCs w:val="36"/>
        </w:rPr>
        <w:t>年度</w:t>
      </w:r>
    </w:p>
    <w:p w14:paraId="614C19FA">
      <w:pPr>
        <w:pStyle w:val="8"/>
        <w:keepNext w:val="0"/>
        <w:keepLines w:val="0"/>
        <w:pageBreakBefore w:val="0"/>
        <w:widowControl w:val="0"/>
        <w:kinsoku/>
        <w:wordWrap/>
        <w:overflowPunct/>
        <w:topLinePunct w:val="0"/>
        <w:autoSpaceDE w:val="0"/>
        <w:autoSpaceDN w:val="0"/>
        <w:bidi w:val="0"/>
        <w:adjustRightInd w:val="0"/>
        <w:snapToGrid w:val="0"/>
        <w:spacing w:line="600" w:lineRule="exact"/>
        <w:ind w:firstLine="720" w:firstLineChars="200"/>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36"/>
          <w:szCs w:val="36"/>
        </w:rPr>
        <w:t>预算绩效情况的说明</w:t>
      </w:r>
    </w:p>
    <w:p w14:paraId="257D9EB6"/>
    <w:p w14:paraId="1BFBAE25">
      <w:pPr>
        <w:numPr>
          <w:ilvl w:val="0"/>
          <w:numId w:val="1"/>
        </w:numPr>
        <w:overflowPunct w:val="0"/>
        <w:spacing w:line="60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绩效评价工作开展情况</w:t>
      </w:r>
    </w:p>
    <w:p w14:paraId="4D2A388F">
      <w:pPr>
        <w:numPr>
          <w:ilvl w:val="0"/>
          <w:numId w:val="2"/>
        </w:numPr>
        <w:overflowPunct w:val="0"/>
        <w:spacing w:line="600" w:lineRule="exact"/>
        <w:ind w:firstLine="643"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b/>
          <w:bCs/>
          <w:kern w:val="0"/>
          <w:sz w:val="32"/>
          <w:szCs w:val="32"/>
        </w:rPr>
        <w:t>绩效自评开展情况</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303.45</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4</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303.45</w:t>
      </w:r>
      <w:r>
        <w:rPr>
          <w:rFonts w:ascii="Times New Roman" w:hAnsi="Times New Roman" w:eastAsia="仿宋_GB2312" w:cs="Times New Roman"/>
          <w:kern w:val="0"/>
          <w:sz w:val="32"/>
          <w:szCs w:val="32"/>
        </w:rPr>
        <w:t xml:space="preserve"> 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%；社会保险基金预算项目</w:t>
      </w: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kern w:val="0"/>
          <w:sz w:val="32"/>
          <w:szCs w:val="32"/>
        </w:rPr>
        <w:t xml:space="preserve"> 个</w:t>
      </w:r>
      <w:r>
        <w:rPr>
          <w:rFonts w:hint="eastAsia" w:ascii="Times New Roman" w:hAnsi="Times New Roman" w:eastAsia="仿宋_GB2312" w:cs="Times New Roman"/>
          <w:kern w:val="0"/>
          <w:sz w:val="32"/>
          <w:szCs w:val="32"/>
          <w:lang w:val="en-US" w:eastAsia="zh-CN"/>
        </w:rPr>
        <w:t>183.69</w:t>
      </w:r>
      <w:r>
        <w:rPr>
          <w:rFonts w:ascii="Times New Roman" w:hAnsi="Times New Roman" w:eastAsia="仿宋_GB2312" w:cs="Times New Roman"/>
          <w:kern w:val="0"/>
          <w:sz w:val="32"/>
          <w:szCs w:val="32"/>
        </w:rPr>
        <w:t>万元，占社会保险基金预算支出总额的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w:t>
      </w:r>
    </w:p>
    <w:p w14:paraId="1E06A5FF">
      <w:pPr>
        <w:numPr>
          <w:ilvl w:val="0"/>
          <w:numId w:val="2"/>
        </w:numPr>
        <w:overflowPunct w:val="0"/>
        <w:spacing w:line="600" w:lineRule="exact"/>
        <w:ind w:left="0" w:leftChars="0" w:firstLine="643" w:firstLineChars="200"/>
        <w:rPr>
          <w:rFonts w:ascii="Times New Roman" w:hAnsi="Times New Roman" w:eastAsia="仿宋_GB2312" w:cs="Times New Roman"/>
          <w:kern w:val="0"/>
          <w:sz w:val="32"/>
          <w:szCs w:val="32"/>
        </w:rPr>
      </w:pPr>
      <w:r>
        <w:rPr>
          <w:rFonts w:ascii="Times New Roman" w:hAnsi="Times New Roman" w:eastAsia="仿宋_GB2312" w:cs="Times New Roman"/>
          <w:b/>
          <w:bCs/>
          <w:kern w:val="0"/>
          <w:sz w:val="32"/>
          <w:szCs w:val="32"/>
        </w:rPr>
        <w:t>部门评价开展情况。</w:t>
      </w:r>
      <w:r>
        <w:rPr>
          <w:rFonts w:ascii="Times New Roman" w:hAnsi="Times New Roman" w:eastAsia="仿宋_GB2312" w:cs="Times New Roman"/>
          <w:kern w:val="0"/>
          <w:sz w:val="32"/>
          <w:szCs w:val="32"/>
        </w:rPr>
        <w:t>组织对所属单位2024年度“</w:t>
      </w:r>
      <w:r>
        <w:rPr>
          <w:rFonts w:hint="eastAsia" w:ascii="Times New Roman" w:hAnsi="Times New Roman" w:eastAsia="仿宋_GB2312" w:cs="Times New Roman"/>
          <w:sz w:val="32"/>
          <w:szCs w:val="32"/>
        </w:rPr>
        <w:t>离退休人员生活补助</w:t>
      </w:r>
      <w:r>
        <w:rPr>
          <w:rFonts w:ascii="Times New Roman" w:hAnsi="Times New Roman" w:eastAsia="仿宋_GB2312" w:cs="Times New Roman"/>
          <w:kern w:val="0"/>
          <w:sz w:val="32"/>
          <w:szCs w:val="32"/>
        </w:rPr>
        <w:t>”“</w:t>
      </w:r>
      <w:r>
        <w:rPr>
          <w:rFonts w:hint="eastAsia" w:ascii="Times New Roman" w:hAnsi="Times New Roman" w:eastAsia="仿宋_GB2312" w:cs="Times New Roman"/>
          <w:sz w:val="32"/>
          <w:szCs w:val="32"/>
        </w:rPr>
        <w:t>义务教育生均公用经费（上级资金）</w:t>
      </w:r>
      <w:r>
        <w:rPr>
          <w:rFonts w:ascii="Times New Roman" w:hAnsi="Times New Roman" w:eastAsia="仿宋_GB2312" w:cs="Times New Roman"/>
          <w:kern w:val="0"/>
          <w:sz w:val="32"/>
          <w:szCs w:val="32"/>
        </w:rPr>
        <w:t>”等</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kern w:val="0"/>
          <w:sz w:val="32"/>
          <w:szCs w:val="32"/>
        </w:rPr>
        <w:t>个项目开展了部门评价，涉及一般公共预算支出</w:t>
      </w:r>
      <w:r>
        <w:rPr>
          <w:rFonts w:hint="eastAsia" w:ascii="Times New Roman" w:hAnsi="Times New Roman" w:eastAsia="仿宋_GB2312" w:cs="Times New Roman"/>
          <w:sz w:val="32"/>
          <w:szCs w:val="32"/>
          <w:lang w:val="en-US" w:eastAsia="zh-CN"/>
        </w:rPr>
        <w:t>308.97</w:t>
      </w:r>
      <w:r>
        <w:rPr>
          <w:rFonts w:ascii="Times New Roman" w:hAnsi="Times New Roman" w:eastAsia="仿宋_GB2312" w:cs="Times New Roman"/>
          <w:kern w:val="0"/>
          <w:sz w:val="32"/>
          <w:szCs w:val="32"/>
        </w:rPr>
        <w:t>万元，政府性基金预算支出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万元，国有资本经营预算支出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万元，社会保险基金预算支出</w:t>
      </w:r>
      <w:r>
        <w:rPr>
          <w:rFonts w:hint="eastAsia" w:ascii="Times New Roman" w:hAnsi="Times New Roman" w:eastAsia="仿宋_GB2312" w:cs="Times New Roman"/>
          <w:sz w:val="32"/>
          <w:szCs w:val="32"/>
          <w:lang w:val="en-US" w:eastAsia="zh-CN"/>
        </w:rPr>
        <w:t>183.69</w:t>
      </w:r>
      <w:r>
        <w:rPr>
          <w:rFonts w:ascii="Times New Roman" w:hAnsi="Times New Roman" w:eastAsia="仿宋_GB2312" w:cs="Times New Roman"/>
          <w:kern w:val="0"/>
          <w:sz w:val="32"/>
          <w:szCs w:val="32"/>
        </w:rPr>
        <w:t>万元。</w:t>
      </w:r>
    </w:p>
    <w:p w14:paraId="2BE10005">
      <w:pPr>
        <w:numPr>
          <w:ilvl w:val="0"/>
          <w:numId w:val="2"/>
        </w:numPr>
        <w:overflowPunct w:val="0"/>
        <w:spacing w:line="600" w:lineRule="exact"/>
        <w:ind w:left="0" w:leftChars="0" w:firstLine="643" w:firstLineChars="200"/>
        <w:rPr>
          <w:rFonts w:ascii="Times New Roman" w:hAnsi="Times New Roman" w:eastAsia="楷体" w:cs="Times New Roman"/>
          <w:b/>
          <w:bCs/>
          <w:sz w:val="32"/>
          <w:szCs w:val="32"/>
        </w:rPr>
      </w:pPr>
      <w:r>
        <w:rPr>
          <w:rFonts w:ascii="Times New Roman" w:hAnsi="Times New Roman" w:eastAsia="仿宋_GB2312" w:cs="Times New Roman"/>
          <w:b/>
          <w:bCs/>
          <w:kern w:val="0"/>
          <w:sz w:val="32"/>
          <w:szCs w:val="32"/>
        </w:rPr>
        <w:t>事前绩效评估开展情况。</w:t>
      </w:r>
      <w:r>
        <w:rPr>
          <w:rFonts w:ascii="Times New Roman" w:hAnsi="Times New Roman" w:eastAsia="仿宋_GB2312" w:cs="Times New Roman"/>
          <w:kern w:val="0"/>
          <w:sz w:val="32"/>
          <w:szCs w:val="32"/>
        </w:rPr>
        <w:t>组织对2024年度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个新增重大政策和</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个重大项目开展事前绩效评估，共涉及资金</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p>
    <w:p w14:paraId="46309F43">
      <w:pPr>
        <w:pStyle w:val="5"/>
        <w:keepNext w:val="0"/>
        <w:keepLines w:val="0"/>
        <w:pageBreakBefore w:val="0"/>
        <w:numPr>
          <w:ilvl w:val="0"/>
          <w:numId w:val="0"/>
        </w:numPr>
        <w:kinsoku/>
        <w:wordWrap/>
        <w:overflowPunct/>
        <w:topLinePunct w:val="0"/>
        <w:autoSpaceDE/>
        <w:autoSpaceDN/>
        <w:bidi w:val="0"/>
        <w:adjustRightInd w:val="0"/>
        <w:snapToGrid w:val="0"/>
        <w:spacing w:before="0" w:beforeAutospacing="0" w:after="0" w:afterAutospacing="0" w:line="600" w:lineRule="exact"/>
        <w:ind w:left="0" w:leftChars="0" w:firstLine="643" w:firstLineChars="200"/>
        <w:jc w:val="both"/>
        <w:rPr>
          <w:rFonts w:hint="eastAsia" w:ascii="黑体" w:hAnsi="黑体" w:eastAsia="黑体" w:cs="黑体"/>
          <w:b/>
          <w:bCs/>
          <w:sz w:val="32"/>
          <w:szCs w:val="32"/>
        </w:rPr>
      </w:pPr>
      <w:r>
        <w:rPr>
          <w:rFonts w:hint="eastAsia" w:ascii="黑体" w:hAnsi="黑体" w:eastAsia="黑体" w:cs="黑体"/>
          <w:b/>
          <w:bCs/>
          <w:kern w:val="0"/>
          <w:sz w:val="32"/>
          <w:szCs w:val="32"/>
          <w:lang w:val="en-US" w:eastAsia="zh-CN" w:bidi="ar-SA"/>
        </w:rPr>
        <w:t>二、</w:t>
      </w:r>
      <w:r>
        <w:rPr>
          <w:rFonts w:hint="eastAsia" w:ascii="黑体" w:hAnsi="黑体" w:eastAsia="黑体" w:cs="黑体"/>
          <w:b/>
          <w:bCs/>
          <w:sz w:val="32"/>
          <w:szCs w:val="32"/>
        </w:rPr>
        <w:t>绩效评价结果</w:t>
      </w:r>
    </w:p>
    <w:p w14:paraId="7F00A78F">
      <w:pPr>
        <w:pStyle w:val="5"/>
        <w:keepNext w:val="0"/>
        <w:keepLines w:val="0"/>
        <w:pageBreakBefore w:val="0"/>
        <w:numPr>
          <w:numId w:val="0"/>
        </w:numPr>
        <w:kinsoku/>
        <w:wordWrap/>
        <w:overflowPunct/>
        <w:topLinePunct w:val="0"/>
        <w:autoSpaceDE/>
        <w:autoSpaceDN/>
        <w:bidi w:val="0"/>
        <w:adjustRightInd w:val="0"/>
        <w:snapToGrid w:val="0"/>
        <w:spacing w:before="0" w:beforeAutospacing="0" w:after="0" w:afterAutospacing="0" w:line="600" w:lineRule="exact"/>
        <w:ind w:firstLine="643"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一</w:t>
      </w:r>
      <w:r>
        <w:rPr>
          <w:rFonts w:hint="eastAsia" w:ascii="Times New Roman" w:hAnsi="Times New Roman" w:eastAsia="仿宋_GB2312" w:cs="Times New Roman"/>
          <w:b/>
          <w:bCs/>
          <w:kern w:val="0"/>
          <w:sz w:val="32"/>
          <w:szCs w:val="32"/>
          <w:lang w:eastAsia="zh-CN"/>
        </w:rPr>
        <w:t>）</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1441.27</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1966.57</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136.45</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96</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w:t>
      </w:r>
    </w:p>
    <w:p w14:paraId="157904FB">
      <w:pPr>
        <w:pStyle w:val="5"/>
        <w:keepNext w:val="0"/>
        <w:keepLines w:val="0"/>
        <w:pageBreakBefore w:val="0"/>
        <w:numPr>
          <w:numId w:val="0"/>
        </w:numPr>
        <w:kinsoku/>
        <w:wordWrap/>
        <w:overflowPunct/>
        <w:topLinePunct w:val="0"/>
        <w:autoSpaceDE/>
        <w:autoSpaceDN/>
        <w:bidi w:val="0"/>
        <w:adjustRightInd w:val="0"/>
        <w:snapToGrid w:val="0"/>
        <w:spacing w:before="0" w:beforeAutospacing="0" w:after="0" w:afterAutospacing="0"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绩效目标完成情况：一是</w:t>
      </w:r>
      <w:r>
        <w:rPr>
          <w:rFonts w:hint="eastAsia" w:ascii="仿宋_GB2312" w:hAnsi="仿宋_GB2312" w:eastAsia="仿宋_GB2312" w:cs="仿宋_GB2312"/>
          <w:b w:val="0"/>
          <w:bCs w:val="0"/>
          <w:sz w:val="32"/>
          <w:szCs w:val="32"/>
        </w:rPr>
        <w:t>积极履职，强化管理，较好地完成了年度工作目标</w:t>
      </w:r>
      <w:r>
        <w:rPr>
          <w:rFonts w:hint="eastAsia" w:ascii="仿宋_GB2312" w:hAnsi="仿宋_GB2312" w:eastAsia="仿宋_GB2312" w:cs="仿宋_GB2312"/>
          <w:b w:val="0"/>
          <w:bCs w:val="0"/>
          <w:sz w:val="32"/>
          <w:szCs w:val="32"/>
          <w:lang w:eastAsia="zh-CN"/>
        </w:rPr>
        <w:t>。</w:t>
      </w:r>
      <w:r>
        <w:rPr>
          <w:rFonts w:ascii="Times New Roman" w:hAnsi="Times New Roman" w:eastAsia="仿宋_GB2312" w:cs="Times New Roman"/>
          <w:sz w:val="32"/>
          <w:szCs w:val="32"/>
        </w:rPr>
        <w:t>二是</w:t>
      </w:r>
      <w:r>
        <w:rPr>
          <w:rFonts w:hint="eastAsia" w:ascii="仿宋_GB2312" w:hAnsi="仿宋_GB2312" w:eastAsia="仿宋_GB2312" w:cs="仿宋_GB2312"/>
          <w:b w:val="0"/>
          <w:bCs w:val="0"/>
          <w:sz w:val="32"/>
          <w:szCs w:val="32"/>
        </w:rPr>
        <w:t>加强预算收支管理，不断建立健全内部管理制度，梳理内部管理流程，部门整体支出管理水平得到提升</w:t>
      </w:r>
      <w:r>
        <w:rPr>
          <w:rFonts w:ascii="Times New Roman" w:hAnsi="Times New Roman" w:eastAsia="仿宋_GB2312" w:cs="Times New Roman"/>
          <w:sz w:val="32"/>
          <w:szCs w:val="32"/>
        </w:rPr>
        <w:t>。</w:t>
      </w:r>
    </w:p>
    <w:p w14:paraId="1610B75B">
      <w:pPr>
        <w:pStyle w:val="5"/>
        <w:keepNext w:val="0"/>
        <w:keepLines w:val="0"/>
        <w:pageBreakBefore w:val="0"/>
        <w:numPr>
          <w:numId w:val="0"/>
        </w:numPr>
        <w:kinsoku/>
        <w:wordWrap/>
        <w:overflowPunct/>
        <w:topLinePunct w:val="0"/>
        <w:autoSpaceDE/>
        <w:autoSpaceDN/>
        <w:bidi w:val="0"/>
        <w:adjustRightInd w:val="0"/>
        <w:snapToGrid w:val="0"/>
        <w:spacing w:before="0" w:beforeAutospacing="0" w:after="0" w:afterAutospacing="0" w:line="600" w:lineRule="exact"/>
        <w:ind w:firstLine="640" w:firstLineChars="200"/>
        <w:jc w:val="both"/>
        <w:rPr>
          <w:rFonts w:hint="eastAsia" w:ascii="仿宋_GB2312" w:hAnsi="仿宋_GB2312" w:eastAsia="仿宋_GB2312" w:cs="仿宋_GB2312"/>
          <w:b w:val="0"/>
          <w:bCs w:val="0"/>
          <w:sz w:val="32"/>
          <w:szCs w:val="32"/>
          <w:lang w:val="en-US" w:eastAsia="zh-CN"/>
        </w:rPr>
      </w:pPr>
      <w:r>
        <w:rPr>
          <w:rFonts w:ascii="Times New Roman" w:hAnsi="Times New Roman" w:eastAsia="仿宋_GB2312" w:cs="Times New Roman"/>
          <w:sz w:val="32"/>
          <w:szCs w:val="32"/>
        </w:rPr>
        <w:t>发现的主要问题及原因：一是</w:t>
      </w:r>
      <w:r>
        <w:rPr>
          <w:rFonts w:hint="eastAsia" w:ascii="仿宋_GB2312" w:hAnsi="仿宋_GB2312" w:eastAsia="仿宋_GB2312" w:cs="仿宋_GB2312"/>
          <w:b w:val="0"/>
          <w:bCs w:val="0"/>
          <w:sz w:val="32"/>
          <w:szCs w:val="32"/>
        </w:rPr>
        <w:t>预算编制工作有待细化。预算编制不够明确和细化，预算编制的合理性需要提高，预算执行力度还要进一步加强。</w:t>
      </w:r>
      <w:r>
        <w:rPr>
          <w:rFonts w:ascii="Times New Roman" w:hAnsi="Times New Roman" w:eastAsia="仿宋_GB2312" w:cs="Times New Roman"/>
          <w:sz w:val="32"/>
          <w:szCs w:val="32"/>
        </w:rPr>
        <w:t>二是</w:t>
      </w:r>
      <w:r>
        <w:rPr>
          <w:rFonts w:hint="eastAsia" w:ascii="仿宋_GB2312" w:hAnsi="仿宋_GB2312" w:eastAsia="仿宋_GB2312" w:cs="仿宋_GB2312"/>
          <w:b w:val="0"/>
          <w:bCs w:val="0"/>
          <w:sz w:val="32"/>
          <w:szCs w:val="32"/>
        </w:rPr>
        <w:t>公用经费控制有一定难度，基本为刚性支出。财政紧张，很多开支都是能节约就节约。</w:t>
      </w:r>
      <w:r>
        <w:rPr>
          <w:rFonts w:hint="eastAsia" w:ascii="仿宋_GB2312" w:hAnsi="仿宋_GB2312" w:eastAsia="仿宋_GB2312" w:cs="仿宋_GB2312"/>
          <w:b w:val="0"/>
          <w:bCs w:val="0"/>
          <w:sz w:val="32"/>
          <w:szCs w:val="32"/>
          <w:lang w:val="en-US" w:eastAsia="zh-CN"/>
        </w:rPr>
        <w:t xml:space="preserve">  </w:t>
      </w:r>
    </w:p>
    <w:p w14:paraId="567960A9">
      <w:pPr>
        <w:pStyle w:val="5"/>
        <w:keepNext w:val="0"/>
        <w:keepLines w:val="0"/>
        <w:pageBreakBefore w:val="0"/>
        <w:numPr>
          <w:numId w:val="0"/>
        </w:numPr>
        <w:kinsoku/>
        <w:wordWrap/>
        <w:overflowPunct/>
        <w:topLinePunct w:val="0"/>
        <w:autoSpaceDE/>
        <w:autoSpaceDN/>
        <w:bidi w:val="0"/>
        <w:adjustRightInd w:val="0"/>
        <w:snapToGrid w:val="0"/>
        <w:spacing w:before="0" w:beforeAutospacing="0" w:after="0" w:afterAutospacing="0" w:line="600" w:lineRule="exact"/>
        <w:ind w:firstLine="640" w:firstLineChars="200"/>
        <w:jc w:val="both"/>
        <w:rPr>
          <w:rFonts w:ascii="Times New Roman" w:hAnsi="Times New Roman" w:eastAsia="仿宋_GB2312" w:cs="Times New Roman"/>
          <w:kern w:val="0"/>
          <w:sz w:val="32"/>
          <w:szCs w:val="32"/>
        </w:rPr>
      </w:pPr>
      <w:r>
        <w:rPr>
          <w:rFonts w:ascii="Times New Roman" w:hAnsi="Times New Roman" w:eastAsia="仿宋_GB2312" w:cs="Times New Roman"/>
          <w:sz w:val="32"/>
          <w:szCs w:val="32"/>
        </w:rPr>
        <w:t>下一步改进措施：一是</w:t>
      </w:r>
      <w:r>
        <w:rPr>
          <w:rFonts w:hint="eastAsia" w:ascii="仿宋_GB2312" w:hAnsi="仿宋_GB2312" w:eastAsia="仿宋_GB2312" w:cs="仿宋_GB2312"/>
          <w:b w:val="0"/>
          <w:bCs w:val="0"/>
          <w:sz w:val="32"/>
          <w:szCs w:val="32"/>
        </w:rPr>
        <w:t>细化预算编制工作，认真做好预算的编制。严格按照预算编制的相关制度和要求进行预算编制进一步提高预算编制的科学性、严谨性和可控性。</w:t>
      </w:r>
      <w:r>
        <w:rPr>
          <w:rFonts w:ascii="Times New Roman" w:hAnsi="Times New Roman" w:eastAsia="仿宋_GB2312" w:cs="Times New Roman"/>
          <w:sz w:val="32"/>
          <w:szCs w:val="32"/>
        </w:rPr>
        <w:t>二是</w:t>
      </w:r>
      <w:r>
        <w:rPr>
          <w:rFonts w:hint="eastAsia" w:ascii="仿宋_GB2312" w:hAnsi="仿宋_GB2312" w:eastAsia="仿宋_GB2312" w:cs="仿宋_GB2312"/>
          <w:b w:val="0"/>
          <w:bCs w:val="0"/>
          <w:sz w:val="32"/>
          <w:szCs w:val="32"/>
        </w:rPr>
        <w:t>加强财务管理，严格财务审核。加强单位财务管理，健全单位财务管理制度体系，规范单位财务行为。在费用报账支付时，按照预算规定的费用项目和用途进行资金使用审核、列报支付、财务核算，杜绝超支现象的发生</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三是</w:t>
      </w:r>
      <w:r>
        <w:rPr>
          <w:rFonts w:hint="eastAsia" w:ascii="仿宋_GB2312" w:hAnsi="仿宋_GB2312" w:eastAsia="仿宋_GB2312" w:cs="仿宋_GB2312"/>
          <w:b w:val="0"/>
          <w:bCs w:val="0"/>
          <w:sz w:val="32"/>
          <w:szCs w:val="32"/>
        </w:rPr>
        <w:t>认真组织各种收入，查漏补缺，完成财务预算</w:t>
      </w:r>
      <w:r>
        <w:rPr>
          <w:rFonts w:ascii="Times New Roman" w:hAnsi="Times New Roman" w:eastAsia="仿宋_GB2312" w:cs="Times New Roman"/>
          <w:kern w:val="0"/>
          <w:sz w:val="32"/>
          <w:szCs w:val="32"/>
        </w:rPr>
        <w:t>。</w:t>
      </w:r>
    </w:p>
    <w:p w14:paraId="0C65C672">
      <w:pPr>
        <w:pStyle w:val="5"/>
        <w:keepNext w:val="0"/>
        <w:keepLines w:val="0"/>
        <w:pageBreakBefore w:val="0"/>
        <w:numPr>
          <w:ilvl w:val="0"/>
          <w:numId w:val="3"/>
        </w:numPr>
        <w:kinsoku/>
        <w:wordWrap/>
        <w:overflowPunct/>
        <w:topLinePunct w:val="0"/>
        <w:autoSpaceDE/>
        <w:autoSpaceDN/>
        <w:bidi w:val="0"/>
        <w:adjustRightInd w:val="0"/>
        <w:snapToGrid w:val="0"/>
        <w:spacing w:before="0" w:beforeAutospacing="0" w:after="0" w:afterAutospacing="0" w:line="600" w:lineRule="exact"/>
        <w:ind w:firstLine="643" w:firstLineChars="200"/>
        <w:jc w:val="both"/>
        <w:rPr>
          <w:rFonts w:ascii="Times New Roman" w:hAnsi="Times New Roman" w:eastAsia="仿宋_GB2312" w:cs="Times New Roman"/>
          <w:sz w:val="32"/>
          <w:szCs w:val="32"/>
        </w:rPr>
      </w:pP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sz w:val="32"/>
          <w:szCs w:val="32"/>
        </w:rPr>
        <w:t>离退休人员生活补助</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35.88</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63.04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175.70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99</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义务教育生均公用经费（上级资金）</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122.48</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123.63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100.94</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营改计划（上级资金）</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104</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104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其他人员经费</w:t>
      </w:r>
      <w:r>
        <w:rPr>
          <w:rFonts w:ascii="Times New Roman" w:hAnsi="Times New Roman" w:eastAsia="仿宋_GB2312" w:cs="Times New Roman"/>
          <w:sz w:val="32"/>
          <w:szCs w:val="32"/>
        </w:rPr>
        <w:t>项目全年预算数</w:t>
      </w:r>
      <w:r>
        <w:rPr>
          <w:rFonts w:hint="eastAsia" w:ascii="Times New Roman" w:hAnsi="Times New Roman" w:eastAsia="仿宋_GB2312" w:cs="Times New Roman"/>
          <w:sz w:val="32"/>
          <w:szCs w:val="32"/>
          <w:lang w:val="en-US" w:eastAsia="zh-CN"/>
        </w:rPr>
        <w:t>41.09</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41.09</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w:t>
      </w:r>
      <w:r>
        <w:rPr>
          <w:rFonts w:ascii="Times New Roman" w:hAnsi="Times New Roman" w:eastAsia="仿宋_GB2312" w:cs="Times New Roman"/>
          <w:sz w:val="32"/>
          <w:szCs w:val="32"/>
        </w:rPr>
        <w:t>部门评价得分</w:t>
      </w:r>
      <w:r>
        <w:rPr>
          <w:rFonts w:hint="eastAsia" w:ascii="Times New Roman" w:hAnsi="Times New Roman" w:eastAsia="仿宋_GB2312" w:cs="Times New Roman"/>
          <w:sz w:val="32"/>
          <w:szCs w:val="32"/>
          <w:lang w:val="en-US" w:eastAsia="zh-CN"/>
        </w:rPr>
        <w:t>98</w:t>
      </w:r>
      <w:r>
        <w:rPr>
          <w:rFonts w:ascii="Times New Roman" w:hAnsi="Times New Roman" w:eastAsia="仿宋_GB2312" w:cs="Times New Roman"/>
          <w:sz w:val="32"/>
          <w:szCs w:val="32"/>
        </w:rPr>
        <w:t>分，评价等级为“</w:t>
      </w:r>
      <w:r>
        <w:rPr>
          <w:rFonts w:hint="eastAsia" w:ascii="Times New Roman" w:hAnsi="Times New Roman" w:eastAsia="仿宋_GB2312" w:cs="Times New Roman"/>
          <w:sz w:val="32"/>
          <w:szCs w:val="32"/>
          <w:lang w:val="en-US" w:eastAsia="zh-CN"/>
        </w:rPr>
        <w:t>优秀</w:t>
      </w:r>
      <w:r>
        <w:rPr>
          <w:rFonts w:ascii="Times New Roman" w:hAnsi="Times New Roman" w:eastAsia="仿宋_GB2312" w:cs="Times New Roman"/>
          <w:sz w:val="32"/>
          <w:szCs w:val="32"/>
        </w:rPr>
        <w:t>”。</w:t>
      </w:r>
    </w:p>
    <w:p w14:paraId="63197678">
      <w:pPr>
        <w:pStyle w:val="5"/>
        <w:keepNext w:val="0"/>
        <w:keepLines w:val="0"/>
        <w:pageBreakBefore w:val="0"/>
        <w:numPr>
          <w:numId w:val="0"/>
        </w:numPr>
        <w:kinsoku/>
        <w:wordWrap/>
        <w:overflowPunct/>
        <w:topLinePunct w:val="0"/>
        <w:autoSpaceDE/>
        <w:autoSpaceDN/>
        <w:bidi w:val="0"/>
        <w:adjustRightInd w:val="0"/>
        <w:snapToGrid w:val="0"/>
        <w:spacing w:before="0" w:beforeAutospacing="0" w:after="0" w:afterAutospacing="0"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sz w:val="32"/>
          <w:szCs w:val="32"/>
          <w:lang w:val="en-US" w:eastAsia="zh-CN"/>
        </w:rPr>
        <w:t>中途人员变动，调整了预算，执行情况有可能大于年初预算</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lang w:val="en-US" w:eastAsia="zh-CN"/>
        </w:rPr>
        <w:t>财政资金紧张，有时候预算执行的时候相对缓慢</w:t>
      </w:r>
      <w:r>
        <w:rPr>
          <w:rFonts w:ascii="Times New Roman" w:hAnsi="Times New Roman" w:eastAsia="仿宋_GB2312" w:cs="Times New Roman"/>
          <w:sz w:val="32"/>
          <w:szCs w:val="32"/>
        </w:rPr>
        <w:t>。</w:t>
      </w:r>
    </w:p>
    <w:p w14:paraId="01EFC1E7">
      <w:pPr>
        <w:pStyle w:val="5"/>
        <w:keepNext w:val="0"/>
        <w:keepLines w:val="0"/>
        <w:pageBreakBefore w:val="0"/>
        <w:numPr>
          <w:numId w:val="0"/>
        </w:numPr>
        <w:kinsoku/>
        <w:wordWrap/>
        <w:overflowPunct/>
        <w:topLinePunct w:val="0"/>
        <w:autoSpaceDE/>
        <w:autoSpaceDN/>
        <w:bidi w:val="0"/>
        <w:adjustRightInd w:val="0"/>
        <w:snapToGrid w:val="0"/>
        <w:spacing w:before="0" w:beforeAutospacing="0" w:after="0" w:afterAutospacing="0" w:line="600" w:lineRule="exact"/>
        <w:ind w:firstLine="640" w:firstLineChars="200"/>
        <w:jc w:val="both"/>
        <w:rPr>
          <w:rFonts w:ascii="Times New Roman" w:hAnsi="Times New Roman" w:eastAsia="仿宋_GB2312" w:cs="Times New Roman"/>
          <w:sz w:val="32"/>
          <w:szCs w:val="32"/>
        </w:rPr>
      </w:pPr>
      <w:bookmarkStart w:id="0" w:name="_GoBack"/>
      <w:bookmarkEnd w:id="0"/>
      <w:r>
        <w:rPr>
          <w:rFonts w:ascii="Times New Roman" w:hAnsi="Times New Roman" w:eastAsia="仿宋_GB2312" w:cs="Times New Roman"/>
          <w:sz w:val="32"/>
          <w:szCs w:val="32"/>
        </w:rPr>
        <w:t>下一步改进措施：一是</w:t>
      </w:r>
      <w:r>
        <w:rPr>
          <w:rFonts w:hint="eastAsia" w:ascii="仿宋" w:hAnsi="仿宋" w:eastAsia="仿宋" w:cs="仿宋"/>
          <w:kern w:val="0"/>
          <w:sz w:val="32"/>
          <w:szCs w:val="32"/>
          <w:lang w:eastAsia="zh-CN"/>
        </w:rPr>
        <w:t>科学合理编制预算，严格执行预算</w:t>
      </w:r>
      <w:r>
        <w:rPr>
          <w:rFonts w:ascii="Times New Roman" w:hAnsi="Times New Roman" w:eastAsia="仿宋_GB2312" w:cs="Times New Roman"/>
          <w:sz w:val="32"/>
          <w:szCs w:val="32"/>
        </w:rPr>
        <w:t>；二是</w:t>
      </w:r>
      <w:r>
        <w:rPr>
          <w:rFonts w:hint="eastAsia" w:ascii="仿宋" w:hAnsi="仿宋" w:eastAsia="仿宋" w:cs="仿宋"/>
          <w:kern w:val="0"/>
          <w:sz w:val="32"/>
          <w:szCs w:val="32"/>
          <w:lang w:val="en-US" w:eastAsia="zh-CN"/>
        </w:rPr>
        <w:t>加强财务管理，严格财务审核，完善管理制度；三是加强财务人员的培训及学习，确保专业化</w:t>
      </w:r>
      <w:r>
        <w:rPr>
          <w:rFonts w:ascii="Times New Roman" w:hAnsi="Times New Roman" w:eastAsia="仿宋_GB2312" w:cs="Times New Roman"/>
          <w:sz w:val="32"/>
          <w:szCs w:val="32"/>
        </w:rPr>
        <w:t>。</w:t>
      </w:r>
    </w:p>
    <w:p w14:paraId="482EC567">
      <w:pPr>
        <w:pStyle w:val="5"/>
        <w:keepNext w:val="0"/>
        <w:keepLines w:val="0"/>
        <w:pageBreakBefore w:val="0"/>
        <w:numPr>
          <w:numId w:val="0"/>
        </w:numPr>
        <w:kinsoku/>
        <w:wordWrap/>
        <w:overflowPunct/>
        <w:topLinePunct w:val="0"/>
        <w:autoSpaceDE/>
        <w:autoSpaceDN/>
        <w:bidi w:val="0"/>
        <w:adjustRightInd w:val="0"/>
        <w:snapToGrid w:val="0"/>
        <w:spacing w:before="0" w:beforeAutospacing="0" w:after="0" w:afterAutospacing="0" w:line="600" w:lineRule="exact"/>
        <w:ind w:firstLine="643" w:firstLineChars="200"/>
        <w:jc w:val="both"/>
        <w:rPr>
          <w:rFonts w:ascii="Times New Roman" w:hAnsi="Times New Roman" w:eastAsia="仿宋_GB2312" w:cs="Times New Roman"/>
          <w:bCs/>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三</w:t>
      </w:r>
      <w:r>
        <w:rPr>
          <w:rFonts w:hint="eastAsia" w:ascii="Times New Roman" w:hAnsi="Times New Roman" w:eastAsia="仿宋_GB2312" w:cs="Times New Roman"/>
          <w:b/>
          <w:bCs/>
          <w:kern w:val="0"/>
          <w:sz w:val="32"/>
          <w:szCs w:val="32"/>
          <w:lang w:eastAsia="zh-CN"/>
        </w:rPr>
        <w:t>）</w:t>
      </w:r>
      <w:r>
        <w:rPr>
          <w:rFonts w:ascii="Times New Roman" w:hAnsi="Times New Roman" w:eastAsia="仿宋_GB2312" w:cs="Times New Roman"/>
          <w:b/>
          <w:bCs/>
          <w:kern w:val="0"/>
          <w:sz w:val="32"/>
          <w:szCs w:val="32"/>
        </w:rPr>
        <w:t>事前绩效评估结果。</w:t>
      </w:r>
      <w:r>
        <w:rPr>
          <w:rFonts w:ascii="Times New Roman" w:hAnsi="Times New Roman" w:eastAsia="仿宋_GB2312" w:cs="Times New Roman"/>
          <w:kern w:val="0"/>
          <w:sz w:val="32"/>
          <w:szCs w:val="32"/>
        </w:rPr>
        <w:t>2024年度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个重大项目事前绩效评估，其中，</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个项目评估通过，涉及资金</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个项目评估不通过，涉及资金</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kern w:val="0"/>
          <w:sz w:val="32"/>
          <w:szCs w:val="32"/>
        </w:rPr>
        <w:t>万元。</w:t>
      </w:r>
    </w:p>
    <w:p w14:paraId="46C21C85">
      <w:pPr>
        <w:pStyle w:val="8"/>
        <w:numPr>
          <w:ilvl w:val="0"/>
          <w:numId w:val="0"/>
        </w:numPr>
        <w:overflowPunct w:val="0"/>
        <w:autoSpaceDE/>
        <w:autoSpaceDN/>
        <w:spacing w:line="600" w:lineRule="exact"/>
        <w:ind w:firstLine="643" w:firstLineChars="200"/>
        <w:jc w:val="both"/>
        <w:rPr>
          <w:rFonts w:ascii="Times New Roman" w:hAnsi="Times New Roman" w:eastAsia="楷体_GB2312" w:cs="Times New Roman"/>
          <w:b/>
          <w:bCs/>
          <w:color w:val="auto"/>
          <w:kern w:val="2"/>
          <w:sz w:val="32"/>
          <w:szCs w:val="32"/>
        </w:rPr>
      </w:pPr>
      <w:r>
        <w:rPr>
          <w:rFonts w:hint="eastAsia" w:ascii="黑体" w:hAnsi="黑体" w:eastAsia="黑体" w:cs="黑体"/>
          <w:b/>
          <w:bCs/>
          <w:color w:val="auto"/>
          <w:kern w:val="2"/>
          <w:sz w:val="32"/>
          <w:szCs w:val="32"/>
        </w:rPr>
        <w:t>三</w:t>
      </w:r>
      <w:r>
        <w:rPr>
          <w:rFonts w:hint="eastAsia" w:hAnsi="黑体" w:cs="黑体"/>
          <w:b/>
          <w:bCs/>
          <w:color w:val="auto"/>
          <w:kern w:val="2"/>
          <w:sz w:val="32"/>
          <w:szCs w:val="32"/>
          <w:lang w:eastAsia="zh-CN"/>
        </w:rPr>
        <w:t>、</w:t>
      </w:r>
      <w:r>
        <w:rPr>
          <w:rFonts w:hint="eastAsia" w:ascii="黑体" w:hAnsi="黑体" w:eastAsia="黑体" w:cs="黑体"/>
          <w:b/>
          <w:bCs/>
          <w:color w:val="auto"/>
          <w:kern w:val="2"/>
          <w:sz w:val="32"/>
          <w:szCs w:val="32"/>
        </w:rPr>
        <w:t>评价结果应用情况。</w:t>
      </w:r>
    </w:p>
    <w:p w14:paraId="49BEB882">
      <w:pPr>
        <w:pStyle w:val="8"/>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hint="eastAsia" w:ascii="Times New Roman" w:hAnsi="Times New Roman" w:eastAsia="楷体_GB2312" w:cs="Times New Roman"/>
          <w:b w:val="0"/>
          <w:bCs w:val="0"/>
          <w:color w:val="auto"/>
          <w:kern w:val="2"/>
          <w:sz w:val="32"/>
          <w:szCs w:val="32"/>
          <w:lang w:val="en-US" w:eastAsia="zh-CN"/>
        </w:rPr>
        <w:t>（一）</w:t>
      </w:r>
      <w:r>
        <w:rPr>
          <w:rFonts w:hint="eastAsia" w:ascii="Times New Roman" w:hAnsi="Times New Roman" w:eastAsia="仿宋_GB2312" w:cs="Times New Roman"/>
          <w:b w:val="0"/>
          <w:bCs w:val="0"/>
          <w:color w:val="auto"/>
          <w:sz w:val="32"/>
          <w:szCs w:val="32"/>
        </w:rPr>
        <w:t>预</w:t>
      </w:r>
      <w:r>
        <w:rPr>
          <w:rFonts w:hint="eastAsia" w:ascii="Times New Roman" w:hAnsi="Times New Roman" w:eastAsia="仿宋_GB2312" w:cs="Times New Roman"/>
          <w:color w:val="auto"/>
          <w:sz w:val="32"/>
          <w:szCs w:val="32"/>
        </w:rPr>
        <w:t>算安排：结合2024年绩效自评中对项目资金使用效率的评估，2025年预算安排将优先保障学校正常运行、教育教学核心项目，如“生均公用经费”等重点项目资金，对绩效表现优异的项目在预算额度上予以倾斜，对绩效一般的项目则优化预算结构</w:t>
      </w:r>
      <w:r>
        <w:rPr>
          <w:rFonts w:hint="eastAsia" w:ascii="Times New Roman" w:hAnsi="Times New Roman" w:eastAsia="仿宋_GB2312" w:cs="Times New Roman"/>
          <w:color w:val="auto"/>
          <w:sz w:val="32"/>
          <w:szCs w:val="32"/>
          <w:lang w:eastAsia="zh-CN"/>
        </w:rPr>
        <w:t>。</w:t>
      </w:r>
    </w:p>
    <w:p w14:paraId="49D34737">
      <w:pPr>
        <w:pStyle w:val="8"/>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rPr>
        <w:t>参考对所属单位“其他人员经费”“离退休人员生活补助”等项目的部门评价结果，2025年预算安排将更精准地匹配各单位人员经费需求，确保人员经费保障的合理性和公平性，同时结合评价中各单位的绩效表现，调整对所属单位的预算分配</w:t>
      </w:r>
      <w:r>
        <w:rPr>
          <w:rFonts w:hint="eastAsia" w:ascii="Times New Roman" w:hAnsi="Times New Roman" w:eastAsia="仿宋_GB2312" w:cs="Times New Roman"/>
          <w:color w:val="auto"/>
          <w:sz w:val="32"/>
          <w:szCs w:val="32"/>
          <w:lang w:eastAsia="zh-CN"/>
        </w:rPr>
        <w:t>。</w:t>
      </w:r>
    </w:p>
    <w:p w14:paraId="4AB7B1EB">
      <w:pPr>
        <w:pStyle w:val="8"/>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lang w:eastAsia="zh-CN"/>
        </w:rPr>
      </w:pPr>
      <w:r>
        <w:rPr>
          <w:rFonts w:hint="eastAsia" w:ascii="Times New Roman" w:hAnsi="Times New Roman" w:eastAsia="仿宋_GB2312" w:cs="Times New Roman"/>
          <w:color w:val="auto"/>
          <w:sz w:val="32"/>
          <w:szCs w:val="32"/>
        </w:rPr>
        <w:t>若财政评价对本部门整体支出绩效给予肯定，2025年预算在保持现有重点项目资金的基础上，可争取更多财政支持；若存在不足，将根据财政评价意见调整预算规模和方向，聚焦核心业务。</w:t>
      </w:r>
    </w:p>
    <w:p w14:paraId="2DCF6504">
      <w:pPr>
        <w:pStyle w:val="8"/>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kern w:val="0"/>
          <w:sz w:val="32"/>
          <w:szCs w:val="32"/>
          <w:lang w:val="en-US" w:eastAsia="zh-CN" w:bidi="ar-SA"/>
        </w:rPr>
        <w:t>（二）</w:t>
      </w:r>
      <w:r>
        <w:rPr>
          <w:rFonts w:hint="eastAsia" w:ascii="Times New Roman" w:hAnsi="Times New Roman" w:eastAsia="仿宋_GB2312" w:cs="Times New Roman"/>
          <w:color w:val="auto"/>
          <w:sz w:val="32"/>
          <w:szCs w:val="32"/>
        </w:rPr>
        <w:t>支出结构调整：依据绩效自评中各项目的执行效果，调整支出结构，增加教育教学、教师队伍建设等关键领域的支出比例，减少非必要、低效能的支出，确保资金向能产生高绩效的领域流动。</w:t>
      </w:r>
    </w:p>
    <w:p w14:paraId="04FF7735">
      <w:pPr>
        <w:pStyle w:val="8"/>
        <w:numPr>
          <w:ilvl w:val="0"/>
          <w:numId w:val="0"/>
        </w:numPr>
        <w:overflowPunct w:val="0"/>
        <w:autoSpaceDE/>
        <w:autoSpaceDN/>
        <w:spacing w:line="600" w:lineRule="exact"/>
        <w:ind w:left="0" w:leftChars="0" w:firstLine="640" w:firstLineChars="200"/>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kern w:val="0"/>
          <w:sz w:val="32"/>
          <w:szCs w:val="32"/>
          <w:lang w:val="en-US" w:eastAsia="zh-CN" w:bidi="ar-SA"/>
        </w:rPr>
        <w:t>（三）</w:t>
      </w:r>
      <w:r>
        <w:rPr>
          <w:rFonts w:hint="eastAsia" w:ascii="Times New Roman" w:hAnsi="Times New Roman" w:eastAsia="仿宋_GB2312" w:cs="Times New Roman"/>
          <w:color w:val="auto"/>
          <w:sz w:val="32"/>
          <w:szCs w:val="32"/>
        </w:rPr>
        <w:t>资金管理：针对绩效自评中发现的部分项目支出进度较慢等问题，2025年将加强资金使用的动态监控，建立资金使用进度预警机制，确保资金及时、高效使用，提高资金周转率。</w:t>
      </w:r>
    </w:p>
    <w:p w14:paraId="1F761E9B">
      <w:pPr>
        <w:pStyle w:val="8"/>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按照财政评价中关于资金管理的建议，加强资金的统筹规划，完善资金使用的监督机制，如引入第三方审计等，提高资金管理的规范性和透明度。</w:t>
      </w:r>
    </w:p>
    <w:p w14:paraId="55DDD56C">
      <w:pPr>
        <w:pStyle w:val="8"/>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针对部门评价中发现的资金使用问题，2025年将加强对所属单位资金使用的指导和监管，建立资金使用的反馈机制，及时解决资金使用过程中的困难，提高资金使用效益。</w:t>
      </w:r>
    </w:p>
    <w:p w14:paraId="480E06E5">
      <w:pPr>
        <w:pStyle w:val="8"/>
        <w:numPr>
          <w:ilvl w:val="0"/>
          <w:numId w:val="0"/>
        </w:numPr>
        <w:overflowPunct w:val="0"/>
        <w:autoSpaceDE/>
        <w:autoSpaceDN/>
        <w:spacing w:line="600" w:lineRule="exact"/>
        <w:ind w:left="0" w:leftChars="0" w:firstLine="640" w:firstLineChars="200"/>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kern w:val="0"/>
          <w:sz w:val="32"/>
          <w:szCs w:val="32"/>
          <w:lang w:val="en-US" w:eastAsia="zh-CN" w:bidi="ar-SA"/>
        </w:rPr>
        <w:t>（四）</w:t>
      </w:r>
      <w:r>
        <w:rPr>
          <w:rFonts w:hint="eastAsia" w:ascii="Times New Roman" w:hAnsi="Times New Roman" w:eastAsia="仿宋_GB2312" w:cs="Times New Roman"/>
          <w:color w:val="auto"/>
          <w:sz w:val="32"/>
          <w:szCs w:val="32"/>
        </w:rPr>
        <w:t>制度建设：根据绩效自评反映出的预算执行、财务管理等方面的情况，进一步完善预算编制、执行以及财务管理制度，明确各环节的责任和流程，提升制度的科学性和可操作性。</w:t>
      </w:r>
    </w:p>
    <w:p w14:paraId="3CD65998">
      <w:pPr>
        <w:pStyle w:val="8"/>
        <w:numPr>
          <w:ilvl w:val="0"/>
          <w:numId w:val="0"/>
        </w:numPr>
        <w:overflowPunct w:val="0"/>
        <w:autoSpaceDE/>
        <w:autoSpaceDN/>
        <w:spacing w:line="600" w:lineRule="exact"/>
        <w:ind w:firstLine="640" w:firstLineChars="200"/>
        <w:jc w:val="both"/>
        <w:rPr>
          <w:rFonts w:hint="eastAsia" w:ascii="Times New Roman" w:hAnsi="Times New Roman" w:eastAsia="仿宋_GB2312" w:cs="Times New Roman"/>
          <w:color w:val="auto"/>
          <w:sz w:val="32"/>
          <w:szCs w:val="32"/>
        </w:rPr>
      </w:pPr>
      <w:r>
        <w:rPr>
          <w:rFonts w:hint="eastAsia" w:ascii="Times New Roman" w:hAnsi="Times New Roman" w:eastAsia="仿宋_GB2312" w:cs="Times New Roman"/>
          <w:color w:val="auto"/>
          <w:sz w:val="32"/>
          <w:szCs w:val="32"/>
        </w:rPr>
        <w:t>根据部门评价结果，完善对所属单位的预算管理、资金使用等方面的制度，明确所属单位在预算执行、绩效评价等方面的责任和要求，规范所属单位的财务行为。</w:t>
      </w:r>
    </w:p>
    <w:p w14:paraId="79E83430">
      <w:pPr>
        <w:pStyle w:val="8"/>
        <w:numPr>
          <w:ilvl w:val="0"/>
          <w:numId w:val="0"/>
        </w:numPr>
        <w:overflowPunct w:val="0"/>
        <w:autoSpaceDE/>
        <w:autoSpaceDN/>
        <w:spacing w:line="600" w:lineRule="exact"/>
        <w:ind w:firstLine="640" w:firstLineChars="200"/>
        <w:jc w:val="both"/>
        <w:rPr>
          <w:rFonts w:ascii="Times New Roman" w:hAnsi="Times New Roman" w:cs="Times New Roman"/>
          <w:sz w:val="72"/>
          <w:szCs w:val="72"/>
        </w:rPr>
      </w:pPr>
      <w:r>
        <w:rPr>
          <w:rFonts w:hint="eastAsia" w:ascii="Times New Roman" w:hAnsi="Times New Roman" w:eastAsia="仿宋_GB2312" w:cs="Times New Roman"/>
          <w:color w:val="auto"/>
          <w:sz w:val="32"/>
          <w:szCs w:val="32"/>
        </w:rPr>
        <w:t>根据财政评价指出的制度漏洞或不足，健全内控制度、采购维修制度等，堵塞管理漏洞，提升部门整体的管理水平和绩效表现。</w:t>
      </w:r>
    </w:p>
    <w:p w14:paraId="51929827">
      <w:pPr>
        <w:keepNext w:val="0"/>
        <w:keepLines w:val="0"/>
        <w:pageBreakBefore w:val="0"/>
        <w:widowControl w:val="0"/>
        <w:kinsoku/>
        <w:wordWrap/>
        <w:overflowPunct/>
        <w:topLinePunct w:val="0"/>
        <w:autoSpaceDE/>
        <w:autoSpaceDN/>
        <w:bidi w:val="0"/>
        <w:adjustRightInd w:val="0"/>
        <w:snapToGrid w:val="0"/>
        <w:spacing w:line="2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48EF03"/>
    <w:multiLevelType w:val="singleLevel"/>
    <w:tmpl w:val="0148EF03"/>
    <w:lvl w:ilvl="0" w:tentative="0">
      <w:start w:val="1"/>
      <w:numFmt w:val="chineseCounting"/>
      <w:suff w:val="nothing"/>
      <w:lvlText w:val="（%1）"/>
      <w:lvlJc w:val="left"/>
      <w:rPr>
        <w:rFonts w:hint="eastAsia"/>
      </w:rPr>
    </w:lvl>
  </w:abstractNum>
  <w:abstractNum w:abstractNumId="1">
    <w:nsid w:val="486CF1FA"/>
    <w:multiLevelType w:val="singleLevel"/>
    <w:tmpl w:val="486CF1FA"/>
    <w:lvl w:ilvl="0" w:tentative="0">
      <w:start w:val="2"/>
      <w:numFmt w:val="chineseCounting"/>
      <w:suff w:val="nothing"/>
      <w:lvlText w:val="（%1）"/>
      <w:lvlJc w:val="left"/>
      <w:rPr>
        <w:rFonts w:hint="eastAsia"/>
      </w:rPr>
    </w:lvl>
  </w:abstractNum>
  <w:abstractNum w:abstractNumId="2">
    <w:nsid w:val="66CF9BF8"/>
    <w:multiLevelType w:val="singleLevel"/>
    <w:tmpl w:val="66CF9BF8"/>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ZjM2MjQwZTcwNjYyYzc4NDQ2ZDkzYWM3NGZmNDAifQ=="/>
  </w:docVars>
  <w:rsids>
    <w:rsidRoot w:val="00000000"/>
    <w:rsid w:val="0C9F508F"/>
    <w:rsid w:val="170F7BA5"/>
    <w:rsid w:val="1A3B730B"/>
    <w:rsid w:val="46A41C10"/>
    <w:rsid w:val="489A18C8"/>
    <w:rsid w:val="4C1C049B"/>
    <w:rsid w:val="506374B2"/>
    <w:rsid w:val="632E0759"/>
    <w:rsid w:val="727342FE"/>
    <w:rsid w:val="7BB26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footnote text"/>
    <w:basedOn w:val="1"/>
    <w:next w:val="3"/>
    <w:semiHidden/>
    <w:qFormat/>
    <w:uiPriority w:val="0"/>
    <w:pPr>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8">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1346</Words>
  <Characters>1475</Characters>
  <Lines>0</Lines>
  <Paragraphs>0</Paragraphs>
  <TotalTime>18</TotalTime>
  <ScaleCrop>false</ScaleCrop>
  <LinksUpToDate>false</LinksUpToDate>
  <CharactersWithSpaces>1480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鳳</cp:lastModifiedBy>
  <dcterms:modified xsi:type="dcterms:W3CDTF">2025-11-05T00:46:48Z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12A71744045445B687D66BD13FB312DC_12</vt:lpwstr>
  </property>
  <property fmtid="{D5CDD505-2E9C-101B-9397-08002B2CF9AE}" pid="4" name="KSOTemplateDocerSaveRecord">
    <vt:lpwstr>eyJoZGlkIjoiOTk0ODM5ZThjZTVmZDk1NmEwNjRhNzBjMmFjNTEyYjMiLCJ1c2VySWQiOiI2NDM1NDM0NzEifQ==</vt:lpwstr>
  </property>
</Properties>
</file>